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26-354</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101 and 108</w:t>
      </w:r>
    </w:p>
    <w:p>
      <w:pPr>
        <w:spacing w:before="0" w:after="0" w:line="480"/>
        <w:ind w:left="120"/>
        <w:jc w:val="center"/>
      </w:pPr>
      <w:r>
        <w:rPr>
          <w:rFonts w:ascii="Times New Roman" w:hAnsi="Times New Roman"/>
          <w:b w:val="false"/>
          <w:i w:val="false"/>
          <w:color w:val="000000"/>
          <w:sz w:val="24"/>
        </w:rPr>
        <w:t>“Replacement Tax and Statewide Property Tax; Replacement Tax and Statewide Property Tax on Rate-Regulated Water Utilities”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437A.25 and 437B.21</w:t>
      </w:r>
    </w:p>
    <w:p>
      <w:pPr>
        <w:spacing w:before="0" w:after="0" w:line="480"/>
        <w:ind w:left="120"/>
        <w:jc w:val="both"/>
      </w:pPr>
      <w:r>
        <w:rPr>
          <w:rFonts w:ascii="Times New Roman" w:hAnsi="Times New Roman"/>
          <w:b w:val="false"/>
          <w:i w:val="false"/>
          <w:color w:val="000000"/>
          <w:sz w:val="24"/>
        </w:rPr>
        <w:t>State or federal law(s) implemented by the rulemaking: Iowa Code chapters 437A and 476B through 476D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101 and rescind Chapter 108. The regulations regarding replacement tax and statewide property tax on rate-regulated water utilities are being folded into Chapter 101 so that all replacement tax and statewide property tax regulations are under one chapter. These proposed rules describe the Department’s interpretation of the underlying statutes on the utility replacement tax and statewide property tax. The Department proposes changes to these rules to help the public understand these tax types. The Department also proposes changes to remove portions of the rules that the Department determined are obsolete or unnecessary or duplicative of statutory language as required by Executive Order 10.</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will benefit from a greater understanding of how these concepts could apply to their properties.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is the value of having a clear understanding of how to apply the concepts of utility replacement tax and statewide property tax in order to ensure consistent application of the law.</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utility replacement tax and statewide property tax will ensure that the correct amount of property taxes are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is greater confusion about how to apply utility replacement tax and statewide property tax to properties in the State. There are no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utility replacement tax and statewide property tax could lead to greater confusion about the application of those taxes. The proposed rules were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consolidates all of the utility replacement tax and statewide property tax rules into one chapter.</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101</w:t>
      </w:r>
    </w:p>
    <w:p>
      <w:pPr>
        <w:spacing w:before="0" w:after="0" w:line="480"/>
        <w:ind w:left="120"/>
        <w:jc w:val="center"/>
      </w:pPr>
      <w:r>
        <w:rPr>
          <w:rFonts w:ascii="Times New Roman" w:hAnsi="Times New Roman"/>
          <w:b w:val="false"/>
          <w:i w:val="false"/>
          <w:color w:val="000000"/>
          <w:sz w:val="21"/>
        </w:rPr>
        <w:t>REPLACEMENT TAX AND STATEWIDE PROPERTY TAX</w:t>
      </w:r>
    </w:p>
    <w:p>
      <w:pPr>
        <w:pBdr>
          <w:top w:space="10"/>
        </w:pBdr>
        <w:spacing w:before="0" w:after="0" w:line="480"/>
        <w:ind w:left="120"/>
        <w:jc w:val="center"/>
      </w:pPr>
      <w:r>
        <w:rPr>
          <w:rFonts w:ascii="Times New Roman" w:hAnsi="Times New Roman"/>
          <w:b w:val="false"/>
          <w:i w:val="false"/>
          <w:color w:val="000000"/>
          <w:sz w:val="16"/>
        </w:rPr>
        <w:t>DIVISION I</w:t>
      </w:r>
    </w:p>
    <w:p>
      <w:pPr>
        <w:spacing w:before="210" w:after="0" w:line="480"/>
        <w:ind w:left="120"/>
        <w:jc w:val="both"/>
      </w:pPr>
      <w:r>
        <w:rPr>
          <w:rFonts w:ascii="Times New Roman" w:hAnsi="Times New Roman"/>
          <w:b/>
          <w:i w:val="false"/>
          <w:color w:val="000000"/>
          <w:sz w:val="24"/>
        </w:rPr>
        <w:t>701—101.1</w:t>
      </w:r>
      <w:r>
        <w:rPr>
          <w:rFonts w:ascii="Times New Roman" w:hAnsi="Times New Roman"/>
          <w:b/>
          <w:i w:val="false"/>
          <w:color w:val="000000"/>
          <w:sz w:val="24"/>
        </w:rPr>
        <w:t xml:space="preserve">(437A,437B) </w:t>
      </w:r>
      <w:r>
        <w:rPr>
          <w:rFonts w:ascii="Times New Roman" w:hAnsi="Times New Roman"/>
          <w:b/>
          <w:i w:val="false"/>
          <w:color w:val="000000"/>
          <w:sz w:val="24"/>
        </w:rPr>
        <w:t xml:space="preserve">Filing the return. </w:t>
      </w:r>
      <w:r>
        <w:rPr>
          <w:rFonts w:ascii="Times New Roman" w:hAnsi="Times New Roman"/>
          <w:b w:val="false"/>
          <w:i w:val="false"/>
          <w:color w:val="000000"/>
          <w:sz w:val="24"/>
        </w:rPr>
        <w:t>Taxpayers required to file a return should file the return in GovConnectIowa. A taxpayer whose replacement tax liability before credits is $300 or less is not required to file a return. If the taxpayer was inactive or ceased the conduct of any activity subject to the replacement tax during the tax year, the taxpayer must notify the department in writing on or before the return due date.</w:t>
      </w:r>
    </w:p>
    <w:p>
      <w:pPr>
        <w:spacing w:before="210" w:after="0" w:line="480"/>
        <w:ind w:left="120"/>
        <w:jc w:val="both"/>
      </w:pPr>
      <w:r>
        <w:rPr>
          <w:rFonts w:ascii="Times New Roman" w:hAnsi="Times New Roman"/>
          <w:b/>
          <w:i w:val="false"/>
          <w:color w:val="000000"/>
          <w:sz w:val="24"/>
        </w:rPr>
        <w:t>701—101.2</w:t>
      </w:r>
      <w:r>
        <w:rPr>
          <w:rFonts w:ascii="Times New Roman" w:hAnsi="Times New Roman"/>
          <w:b/>
          <w:i w:val="false"/>
          <w:color w:val="000000"/>
          <w:sz w:val="24"/>
        </w:rPr>
        <w:t xml:space="preserve">(437A,437B) </w:t>
      </w:r>
      <w:r>
        <w:rPr>
          <w:rFonts w:ascii="Times New Roman" w:hAnsi="Times New Roman"/>
          <w:b/>
          <w:i w:val="false"/>
          <w:color w:val="000000"/>
          <w:sz w:val="24"/>
        </w:rPr>
        <w:t xml:space="preserve">Payment of tax. </w:t>
      </w:r>
      <w:r>
        <w:rPr>
          <w:rFonts w:ascii="Times New Roman" w:hAnsi="Times New Roman"/>
          <w:b w:val="false"/>
          <w:i w:val="false"/>
          <w:color w:val="000000"/>
          <w:sz w:val="24"/>
        </w:rPr>
        <w:t>Payment of tax shall not accompany the filing of the replacement tax return with the director. Payment of the tax due shall be made to the appropriate county treasurer upon notification to the taxpayer of the taxpayer’s replacement tax liability.</w:t>
      </w:r>
    </w:p>
    <w:p>
      <w:pPr>
        <w:spacing w:before="210" w:after="0" w:line="480"/>
        <w:ind w:left="120"/>
        <w:jc w:val="both"/>
      </w:pPr>
      <w:r>
        <w:rPr>
          <w:rFonts w:ascii="Times New Roman" w:hAnsi="Times New Roman"/>
          <w:b/>
          <w:i w:val="false"/>
          <w:color w:val="000000"/>
          <w:sz w:val="24"/>
        </w:rPr>
        <w:t>701—101.3</w:t>
      </w:r>
      <w:r>
        <w:rPr>
          <w:rFonts w:ascii="Times New Roman" w:hAnsi="Times New Roman"/>
          <w:b/>
          <w:i w:val="false"/>
          <w:color w:val="000000"/>
          <w:sz w:val="24"/>
        </w:rPr>
        <w:t xml:space="preserve">(437A,437B) </w:t>
      </w:r>
      <w:r>
        <w:rPr>
          <w:rFonts w:ascii="Times New Roman" w:hAnsi="Times New Roman"/>
          <w:b/>
          <w:i w:val="false"/>
          <w:color w:val="000000"/>
          <w:sz w:val="24"/>
        </w:rPr>
        <w:t xml:space="preserve">Statute of limitations. </w:t>
      </w:r>
      <w:r>
        <w:rPr>
          <w:rFonts w:ascii="Times New Roman" w:hAnsi="Times New Roman"/>
          <w:b w:val="false"/>
          <w:i w:val="false"/>
          <w:color w:val="000000"/>
          <w:sz w:val="24"/>
        </w:rPr>
        <w:t>The director has three years after a return is filed to determine the tax due if the return is found to be incorrect and to give notice to the taxpayer of the determination. If a taxpayer fails to file a return, the three-year period of limitations does not begin to run until the return is filed with the director.</w:t>
      </w:r>
    </w:p>
    <w:p>
      <w:pPr>
        <w:spacing w:before="0" w:after="0" w:line="480"/>
        <w:ind w:left="120"/>
        <w:jc w:val="both"/>
      </w:pPr>
      <w:r>
        <w:rPr>
          <w:rFonts w:ascii="Times New Roman" w:hAnsi="Times New Roman"/>
          <w:b/>
          <w:i w:val="false"/>
          <w:color w:val="000000"/>
          <w:sz w:val="24"/>
        </w:rPr>
        <w:t>701—101.4</w:t>
      </w:r>
      <w:r>
        <w:rPr>
          <w:rFonts w:ascii="Times New Roman" w:hAnsi="Times New Roman"/>
          <w:b/>
          <w:i w:val="false"/>
          <w:color w:val="000000"/>
          <w:sz w:val="24"/>
        </w:rPr>
        <w:t xml:space="preserve">(437A,437B) </w:t>
      </w:r>
      <w:r>
        <w:rPr>
          <w:rFonts w:ascii="Times New Roman" w:hAnsi="Times New Roman"/>
          <w:b/>
          <w:i w:val="false"/>
          <w:color w:val="000000"/>
          <w:sz w:val="24"/>
        </w:rPr>
        <w:t xml:space="preserve">Billings.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w:t>
      </w:r>
      <w:r>
        <w:rPr>
          <w:rFonts w:ascii="Times New Roman" w:hAnsi="Times New Roman"/>
          <w:b w:val="false"/>
          <w:i w:val="false"/>
          <w:color w:val="000000"/>
          <w:sz w:val="24"/>
        </w:rPr>
        <w:t> </w:t>
      </w:r>
      <w:r>
        <w:rPr>
          <w:rFonts w:ascii="Times New Roman" w:hAnsi="Times New Roman"/>
          <w:b w:val="false"/>
          <w:i/>
          <w:color w:val="000000"/>
          <w:sz w:val="24"/>
        </w:rPr>
        <w:t xml:space="preserve">Notice of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department discovers discrepancies in returns or learns that items subject to tax may not have been listed or included as taxable, in whole or in part, or that no return was filed when one was due, the department may notify the person of this discovery. This notice is not an assessment. It informs the person what amount would be due if the information discovered is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person who has received notice of an adjustment in connection with a return has 20 days from the date of the notice to file a correct, sufficient return. If payment is made, and the person wishes to contest the matter, the person should file a timely claim for refund. However, payment will not be required until an assessment has been made. Interest will continue to accrue if timely payment is not made. This person may also ask for a conference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101.4(2)</w:t>
      </w:r>
      <w:r>
        <w:rPr>
          <w:rFonts w:ascii="Times New Roman" w:hAnsi="Times New Roman"/>
          <w:b w:val="false"/>
          <w:i w:val="false"/>
          <w:color w:val="000000"/>
          <w:sz w:val="24"/>
        </w:rPr>
        <w:t> </w:t>
      </w:r>
      <w:r>
        <w:rPr>
          <w:rFonts w:ascii="Times New Roman" w:hAnsi="Times New Roman"/>
          <w:b w:val="false"/>
          <w:i/>
          <w:color w:val="000000"/>
          <w:sz w:val="24"/>
        </w:rPr>
        <w:t xml:space="preserve">Notice of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after following the procedure outlined in paragraph </w:t>
      </w:r>
      <w:hyperlink r:id="rId6">
        <w:r>
          <w:rPr>
            <w:rStyle w:val="Hyperlink"/>
            <w:rFonts w:ascii="Times New Roman" w:hAnsi="Times New Roman"/>
            <w:b w:val="false"/>
            <w:i w:val="false"/>
            <w:color w:val="000000"/>
            <w:sz w:val="24"/>
          </w:rPr>
          <w:t>101.4(1)</w:t>
        </w:r>
      </w:hyperlink>
      <w:r>
        <w:rPr>
          <w:rFonts w:ascii="Times New Roman" w:hAnsi="Times New Roman"/>
          <w:b w:val="false"/>
          <w:i/>
          <w:color w:val="000000"/>
          <w:sz w:val="24"/>
        </w:rPr>
        <w:t>“b”</w:t>
      </w:r>
      <w:r>
        <w:rPr>
          <w:rFonts w:ascii="Times New Roman" w:hAnsi="Times New Roman"/>
          <w:b w:val="false"/>
          <w:i w:val="false"/>
          <w:color w:val="000000"/>
          <w:sz w:val="24"/>
        </w:rPr>
        <w:t xml:space="preserve"> no agreement is reached and the person does not pay the amount determined to be correct to the appropriate county treasurer, a notice of the amount of tax due shall be sent to the taxpayer. This notice of assessment shall be signed by the director and will be sent by ordinary mail to the taxpayer with a copy sent to the appropriate county treasurer.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has 60 days from the date of the notice of assessment to file an appeal according to the provisions of rule </w:t>
      </w:r>
      <w:hyperlink r:id="rId7">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 xml:space="preserve">(17A), or if the taxpayer fails to timely appeal a notice of assessment, the taxpayer may make payment pursuant to rule </w:t>
      </w:r>
      <w:hyperlink r:id="rId8">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 xml:space="preserve">(17A) to the appropriate county treasurer and file a refund claim with the director within the applicable period provided in Iowa Code section </w:t>
      </w:r>
      <w:hyperlink r:id="rId9">
        <w:r>
          <w:rPr>
            <w:rStyle w:val="Hyperlink"/>
            <w:rFonts w:ascii="Times New Roman" w:hAnsi="Times New Roman"/>
            <w:b w:val="false"/>
            <w:i w:val="false"/>
            <w:color w:val="000000"/>
            <w:sz w:val="24"/>
          </w:rPr>
          <w:t>437A.14(1)</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filing such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101.4(3)</w:t>
      </w:r>
      <w:r>
        <w:rPr>
          <w:rFonts w:ascii="Times New Roman" w:hAnsi="Times New Roman"/>
          <w:b w:val="false"/>
          <w:i w:val="false"/>
          <w:color w:val="000000"/>
          <w:sz w:val="24"/>
        </w:rPr>
        <w:t> </w:t>
      </w:r>
      <w:r>
        <w:rPr>
          <w:rFonts w:ascii="Times New Roman" w:hAnsi="Times New Roman"/>
          <w:b w:val="false"/>
          <w:i/>
          <w:color w:val="000000"/>
          <w:sz w:val="24"/>
        </w:rPr>
        <w:t xml:space="preserve">Supplemental assessments and refund adjustments. </w:t>
      </w:r>
      <w:r>
        <w:rPr>
          <w:rFonts w:ascii="Times New Roman" w:hAnsi="Times New Roman"/>
          <w:b w:val="false"/>
          <w:i w:val="false"/>
          <w:color w:val="000000"/>
          <w:sz w:val="24"/>
        </w:rPr>
        <w:t>The director may, at any time within the period prescribed for assessment or refund adjustment, make a supplemental assessment or refund adjustment whenever it is ascertained that any assessment or refund adjustment is imperfect or incomplete in any respect. If an assessment or refund adjustment is appealed and is resolved whether by informal proceedings or by adjudication, the director shall notify the appropriate county treasurer.</w:t>
      </w:r>
    </w:p>
    <w:p>
      <w:pPr>
        <w:spacing w:before="0" w:after="0" w:line="480"/>
        <w:ind w:left="120"/>
        <w:jc w:val="both"/>
      </w:pPr>
      <w:r>
        <w:rPr>
          <w:rFonts w:ascii="Times New Roman" w:hAnsi="Times New Roman"/>
          <w:b/>
          <w:i w:val="false"/>
          <w:color w:val="000000"/>
          <w:sz w:val="24"/>
        </w:rPr>
        <w:t>701—101.5</w:t>
      </w:r>
      <w:r>
        <w:rPr>
          <w:rFonts w:ascii="Times New Roman" w:hAnsi="Times New Roman"/>
          <w:b/>
          <w:i w:val="false"/>
          <w:color w:val="000000"/>
          <w:sz w:val="24"/>
        </w:rPr>
        <w:t xml:space="preserve">(437A,437B) </w:t>
      </w:r>
      <w:r>
        <w:rPr>
          <w:rFonts w:ascii="Times New Roman" w:hAnsi="Times New Roman"/>
          <w:b/>
          <w:i w:val="false"/>
          <w:color w:val="000000"/>
          <w:sz w:val="24"/>
        </w:rPr>
        <w:t xml:space="preserve">Refunds.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val="false"/>
          <w:color w:val="000000"/>
          <w:sz w:val="24"/>
        </w:rPr>
        <w:t>A claim for refund of replacement tax should be made in GovConnectIowa. All claims for refund should be filed with the director, not with the county treasurer. In the case of a refund claim filed by an agent or representative of the taxpayer, a power of attorney must accompany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val="false"/>
          <w:color w:val="000000"/>
          <w:sz w:val="24"/>
        </w:rPr>
        <w:t>A taxpayer shall not offset a refund or overpayment of tax for one tax year as a prior payment of tax of a subsequent tax year on the tax return of a subsequent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val="false"/>
          <w:color w:val="000000"/>
          <w:sz w:val="24"/>
        </w:rPr>
        <w:t>The taxpayer responsible for paying the tax, or the taxpayer’s successors, are the only persons eligible to file claims for refund or credit of the tax with the director and are the only persons eligible to receive such refunds or credits.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val="false"/>
          <w:color w:val="000000"/>
          <w:sz w:val="24"/>
        </w:rPr>
        <w:t>The director will notify the appropriate county treasurer of the acceptance or denial of any refund claim or credit. The county treasurer shall pay the refund claim or portion thereof accepted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101.5(5)</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has 60 days from the date of the notice of denial of a refund or credit, in whole or in part, to file an appeal according to the provisions of rule </w:t>
      </w:r>
      <w:hyperlink r:id="rId10">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i w:val="false"/>
          <w:color w:val="000000"/>
          <w:sz w:val="24"/>
        </w:rPr>
        <w:t>701—101.6</w:t>
      </w:r>
      <w:r>
        <w:rPr>
          <w:rFonts w:ascii="Times New Roman" w:hAnsi="Times New Roman"/>
          <w:b/>
          <w:i w:val="false"/>
          <w:color w:val="000000"/>
          <w:sz w:val="24"/>
        </w:rPr>
        <w:t xml:space="preserve">(437A,437B) </w:t>
      </w:r>
      <w:r>
        <w:rPr>
          <w:rFonts w:ascii="Times New Roman" w:hAnsi="Times New Roman"/>
          <w:b/>
          <w:i w:val="false"/>
          <w:color w:val="000000"/>
          <w:sz w:val="24"/>
        </w:rPr>
        <w:t xml:space="preserve">Audit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have the right to examine or cause to be examined the books, papers, records, memoranda or documents of a taxpayer for the purpose of verifying the correctness of a tax return filed or of information presented or for estimating the tax liability of a taxpayer. Taxpayers must maintain records as described in Iowa Code section </w:t>
      </w:r>
      <w:hyperlink r:id="rId11">
        <w:r>
          <w:rPr>
            <w:rStyle w:val="Hyperlink"/>
            <w:rFonts w:ascii="Times New Roman" w:hAnsi="Times New Roman"/>
            <w:b w:val="false"/>
            <w:i w:val="false"/>
            <w:color w:val="000000"/>
            <w:sz w:val="24"/>
          </w:rPr>
          <w:t>437A.24</w:t>
        </w:r>
      </w:hyperlink>
      <w:r>
        <w:rPr>
          <w:rFonts w:ascii="Times New Roman" w:hAnsi="Times New Roman"/>
          <w:b w:val="false"/>
          <w:i w:val="false"/>
          <w:color w:val="000000"/>
          <w:sz w:val="24"/>
        </w:rPr>
        <w:t>. When a taxpayer fails or refuses to produce the records for examination upon request, the director shall have authority to require, by a subpoena, the attendance of the taxpayer and any other witness(es) whom the director deems necessary or expedient to examine and compel the taxpayer and witness(es) to produce books, papers, records, memoranda or documents relating in any manner to the replacement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101.6(2)</w:t>
      </w:r>
      <w:r>
        <w:rPr>
          <w:rFonts w:ascii="Times New Roman" w:hAnsi="Times New Roman"/>
          <w:b w:val="false"/>
          <w:i w:val="false"/>
          <w:color w:val="000000"/>
          <w:sz w:val="24"/>
        </w:rPr>
        <w:t> </w:t>
      </w:r>
      <w:r>
        <w:rPr>
          <w:rFonts w:ascii="Times New Roman" w:hAnsi="Times New Roman"/>
          <w:b w:val="false"/>
          <w:i w:val="false"/>
          <w:color w:val="000000"/>
          <w:sz w:val="24"/>
        </w:rPr>
        <w:t>Tax credits.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credit. </w:t>
      </w:r>
      <w:r>
        <w:rPr>
          <w:rFonts w:ascii="Times New Roman" w:hAnsi="Times New Roman"/>
          <w:b w:val="false"/>
          <w:i w:val="false"/>
          <w:color w:val="000000"/>
          <w:sz w:val="24"/>
        </w:rPr>
        <w:t xml:space="preserve">A person in possession of a renewable energy tax credit certificate issued pursuant to Iowa Code chapter </w:t>
      </w:r>
      <w:hyperlink r:id="rId12">
        <w:r>
          <w:rPr>
            <w:rStyle w:val="Hyperlink"/>
            <w:rFonts w:ascii="Times New Roman" w:hAnsi="Times New Roman"/>
            <w:b w:val="false"/>
            <w:i w:val="false"/>
            <w:color w:val="000000"/>
            <w:sz w:val="24"/>
          </w:rPr>
          <w:t>476C</w:t>
        </w:r>
      </w:hyperlink>
      <w:r>
        <w:rPr>
          <w:rFonts w:ascii="Times New Roman" w:hAnsi="Times New Roman"/>
          <w:b w:val="false"/>
          <w:i w:val="false"/>
          <w:color w:val="000000"/>
          <w:sz w:val="24"/>
        </w:rPr>
        <w:t xml:space="preserve"> or a wind energy tax credit issued pursuant to Iowa Code chapter </w:t>
      </w:r>
      <w:hyperlink r:id="rId13">
        <w:r>
          <w:rPr>
            <w:rStyle w:val="Hyperlink"/>
            <w:rFonts w:ascii="Times New Roman" w:hAnsi="Times New Roman"/>
            <w:b w:val="false"/>
            <w:i w:val="false"/>
            <w:color w:val="000000"/>
            <w:sz w:val="24"/>
          </w:rPr>
          <w:t>476B</w:t>
        </w:r>
      </w:hyperlink>
      <w:r>
        <w:rPr>
          <w:rFonts w:ascii="Times New Roman" w:hAnsi="Times New Roman"/>
          <w:b w:val="false"/>
          <w:i w:val="false"/>
          <w:color w:val="000000"/>
          <w:sz w:val="24"/>
        </w:rPr>
        <w:t xml:space="preserve"> may apply to the director for a reimbursement of the amount of taxes imposed and paid by the person pursuant to Iowa Code chapter </w:t>
      </w:r>
      <w:hyperlink r:id="rId14">
        <w:r>
          <w:rPr>
            <w:rStyle w:val="Hyperlink"/>
            <w:rFonts w:ascii="Times New Roman" w:hAnsi="Times New Roman"/>
            <w:b w:val="false"/>
            <w:i w:val="false"/>
            <w:color w:val="000000"/>
            <w:sz w:val="24"/>
          </w:rPr>
          <w:t>437A</w:t>
        </w:r>
      </w:hyperlink>
      <w:r>
        <w:rPr>
          <w:rFonts w:ascii="Times New Roman" w:hAnsi="Times New Roman"/>
          <w:b w:val="false"/>
          <w:i w:val="false"/>
          <w:color w:val="000000"/>
          <w:sz w:val="24"/>
        </w:rPr>
        <w:t xml:space="preserve"> in an amount not more than the person received in renewable energy tax credit certificates or wind energy tax credit certificates. To obtain the reimbursement, the person shall include with the return required under Iowa Code section </w:t>
      </w:r>
      <w:hyperlink r:id="rId15">
        <w:r>
          <w:rPr>
            <w:rStyle w:val="Hyperlink"/>
            <w:rFonts w:ascii="Times New Roman" w:hAnsi="Times New Roman"/>
            <w:b w:val="false"/>
            <w:i w:val="false"/>
            <w:color w:val="000000"/>
            <w:sz w:val="24"/>
          </w:rPr>
          <w:t>437A.8</w:t>
        </w:r>
      </w:hyperlink>
      <w:r>
        <w:rPr>
          <w:rFonts w:ascii="Times New Roman" w:hAnsi="Times New Roman"/>
          <w:b w:val="false"/>
          <w:i w:val="false"/>
          <w:color w:val="000000"/>
          <w:sz w:val="24"/>
        </w:rPr>
        <w:t xml:space="preserve"> the renewable energy tax credit certificates or the wind energy tax credit certificates and provide any other information the director may require.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Credit in excess of liability. </w:t>
      </w:r>
      <w:r>
        <w:rPr>
          <w:rFonts w:ascii="Times New Roman" w:hAnsi="Times New Roman"/>
          <w:b w:val="false"/>
          <w:i w:val="false"/>
          <w:color w:val="000000"/>
          <w:sz w:val="24"/>
        </w:rPr>
        <w:t xml:space="preserve">The director shall direct that a warrant be issued to the person for an amount equal to the tax imposed and paid by the person. Any credit in excess of the person’s tax liability may be claimed as a refund for the following seven years. Pursuant to Iowa Code section </w:t>
      </w:r>
      <w:hyperlink r:id="rId16">
        <w:r>
          <w:rPr>
            <w:rStyle w:val="Hyperlink"/>
            <w:rFonts w:ascii="Times New Roman" w:hAnsi="Times New Roman"/>
            <w:b w:val="false"/>
            <w:i w:val="false"/>
            <w:color w:val="000000"/>
            <w:sz w:val="24"/>
          </w:rPr>
          <w:t>437A.14</w:t>
        </w:r>
      </w:hyperlink>
      <w:r>
        <w:rPr>
          <w:rFonts w:ascii="Times New Roman" w:hAnsi="Times New Roman"/>
          <w:b w:val="false"/>
          <w:i w:val="false"/>
          <w:color w:val="000000"/>
          <w:sz w:val="24"/>
        </w:rPr>
        <w:t>, a taxpayer may file a claim for refund with the director within three years after the replacement tax became due. If the renewable energy or wind energy tax credit claim exceeds the replacement tax due in a year, the taxpayer has seven years to carry over the excess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Multiple credits not permissible. </w:t>
      </w:r>
      <w:r>
        <w:rPr>
          <w:rFonts w:ascii="Times New Roman" w:hAnsi="Times New Roman"/>
          <w:b w:val="false"/>
          <w:i w:val="false"/>
          <w:color w:val="000000"/>
          <w:sz w:val="24"/>
        </w:rPr>
        <w:t xml:space="preserve">Pursuant to Iowa Code section </w:t>
      </w:r>
      <w:hyperlink r:id="rId17">
        <w:r>
          <w:rPr>
            <w:rStyle w:val="Hyperlink"/>
            <w:rFonts w:ascii="Times New Roman" w:hAnsi="Times New Roman"/>
            <w:b w:val="false"/>
            <w:i w:val="false"/>
            <w:color w:val="000000"/>
            <w:sz w:val="24"/>
          </w:rPr>
          <w:t>476C.4(6)</w:t>
        </w:r>
      </w:hyperlink>
      <w:r>
        <w:rPr>
          <w:rFonts w:ascii="Times New Roman" w:hAnsi="Times New Roman"/>
          <w:b w:val="false"/>
          <w:i w:val="false"/>
          <w:color w:val="000000"/>
          <w:sz w:val="24"/>
        </w:rPr>
        <w:t>, a person cannot receive both a renewable energy tax credit and a wind energy tax credit. For the wind energy tax credit, the reimbursement applies to a qualified facility placed in service on or after July 1, 2005, but before July 1, 2012. For the renewable energy tax credit, the reimbursement applies to a qualified facility placed in service on or after July 1, 2005, but before January 1, 2018.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Calculating credit amount. </w:t>
      </w:r>
      <w:r>
        <w:rPr>
          <w:rFonts w:ascii="Times New Roman" w:hAnsi="Times New Roman"/>
          <w:b w:val="false"/>
          <w:i w:val="false"/>
          <w:color w:val="000000"/>
          <w:sz w:val="24"/>
        </w:rPr>
        <w:t>The utilities board shall notify the department of the amount of kilowatt hours of electricity purchased from a renewable energy facility or the amount of kilowatt hours generated and purchased from a qualified wind energy facility or generated and used on site by the qualified wind energy facility. The department shall calculate the amount of the tax credit and issue the tax credit certificate. Wind energy and renewable energy tax credit certificates may be transferred, and a replacement tax credit certificate may reflect a different type of tax than the type of tax noted on the original tax credit certificate.</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8">
        <w:r>
          <w:rPr>
            <w:rStyle w:val="Hyperlink"/>
            <w:rFonts w:ascii="Times New Roman" w:hAnsi="Times New Roman"/>
            <w:b w:val="false"/>
            <w:i w:val="false"/>
            <w:color w:val="000000"/>
            <w:sz w:val="24"/>
          </w:rPr>
          <w:t>476B</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476C</w:t>
        </w:r>
      </w:hyperlink>
      <w:r>
        <w:rPr>
          <w:rFonts w:ascii="Times New Roman" w:hAnsi="Times New Roman"/>
          <w:b w:val="false"/>
          <w:i w:val="false"/>
          <w:color w:val="000000"/>
          <w:sz w:val="24"/>
        </w:rPr>
        <w:t xml:space="preserve"> and section </w:t>
      </w:r>
      <w:hyperlink r:id="rId20">
        <w:r>
          <w:rPr>
            <w:rStyle w:val="Hyperlink"/>
            <w:rFonts w:ascii="Times New Roman" w:hAnsi="Times New Roman"/>
            <w:b w:val="false"/>
            <w:i w:val="false"/>
            <w:color w:val="000000"/>
            <w:sz w:val="24"/>
          </w:rPr>
          <w:t>437A.17B</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STATEWIDE PROPERTY TAX</w:t>
      </w:r>
    </w:p>
    <w:p>
      <w:pPr>
        <w:spacing w:before="210" w:after="0" w:line="480"/>
        <w:ind w:left="120"/>
        <w:jc w:val="both"/>
      </w:pPr>
      <w:r>
        <w:rPr>
          <w:rFonts w:ascii="Times New Roman" w:hAnsi="Times New Roman"/>
          <w:b/>
          <w:i w:val="false"/>
          <w:color w:val="000000"/>
          <w:sz w:val="24"/>
        </w:rPr>
        <w:t>701—101.7</w:t>
      </w:r>
      <w:r>
        <w:rPr>
          <w:rFonts w:ascii="Times New Roman" w:hAnsi="Times New Roman"/>
          <w:b/>
          <w:i w:val="false"/>
          <w:color w:val="000000"/>
          <w:sz w:val="24"/>
        </w:rPr>
        <w:t xml:space="preserve">(437A,437B) </w:t>
      </w:r>
      <w:r>
        <w:rPr>
          <w:rFonts w:ascii="Times New Roman" w:hAnsi="Times New Roman"/>
          <w:b/>
          <w:i w:val="false"/>
          <w:color w:val="000000"/>
          <w:sz w:val="24"/>
        </w:rPr>
        <w:t xml:space="preserve">Inactive taxpayers. </w:t>
      </w:r>
      <w:r>
        <w:rPr>
          <w:rFonts w:ascii="Times New Roman" w:hAnsi="Times New Roman"/>
          <w:b w:val="false"/>
          <w:i w:val="false"/>
          <w:color w:val="000000"/>
          <w:sz w:val="24"/>
        </w:rPr>
        <w:t>If the taxpayer was inactive or ceased the conduct of any activity for which the taxpayer’s property was subject to the statewide property tax during the tax year, the taxpayer must notify the department in writing on or before the return due date.</w:t>
      </w:r>
    </w:p>
    <w:p>
      <w:pPr>
        <w:spacing w:before="210" w:after="0" w:line="480"/>
        <w:ind w:left="120"/>
        <w:jc w:val="both"/>
      </w:pPr>
      <w:r>
        <w:rPr>
          <w:rFonts w:ascii="Times New Roman" w:hAnsi="Times New Roman"/>
          <w:b/>
          <w:i w:val="false"/>
          <w:color w:val="000000"/>
          <w:sz w:val="24"/>
        </w:rPr>
        <w:t>701—101.8</w:t>
      </w:r>
      <w:r>
        <w:rPr>
          <w:rFonts w:ascii="Times New Roman" w:hAnsi="Times New Roman"/>
          <w:b/>
          <w:i w:val="false"/>
          <w:color w:val="000000"/>
          <w:sz w:val="24"/>
        </w:rPr>
        <w:t xml:space="preserve">(437A,437B) </w:t>
      </w:r>
      <w:r>
        <w:rPr>
          <w:rFonts w:ascii="Times New Roman" w:hAnsi="Times New Roman"/>
          <w:b/>
          <w:i w:val="false"/>
          <w:color w:val="000000"/>
          <w:sz w:val="24"/>
        </w:rPr>
        <w:t xml:space="preserve">Time and place for filing return. </w:t>
      </w:r>
      <w:r>
        <w:rPr>
          <w:rFonts w:ascii="Times New Roman" w:hAnsi="Times New Roman"/>
          <w:b w:val="false"/>
          <w:i w:val="false"/>
          <w:color w:val="000000"/>
          <w:sz w:val="24"/>
        </w:rPr>
        <w:t>Taxpayers required to file a return should file the return on GovConnectIowa.</w:t>
      </w:r>
    </w:p>
    <w:p>
      <w:pPr>
        <w:spacing w:before="210" w:after="0" w:line="480"/>
        <w:ind w:left="120"/>
        <w:jc w:val="both"/>
      </w:pPr>
      <w:r>
        <w:rPr>
          <w:rFonts w:ascii="Times New Roman" w:hAnsi="Times New Roman"/>
          <w:b/>
          <w:i w:val="false"/>
          <w:color w:val="000000"/>
          <w:sz w:val="24"/>
        </w:rPr>
        <w:t>701—101.9</w:t>
      </w:r>
      <w:r>
        <w:rPr>
          <w:rFonts w:ascii="Times New Roman" w:hAnsi="Times New Roman"/>
          <w:b/>
          <w:i w:val="false"/>
          <w:color w:val="000000"/>
          <w:sz w:val="24"/>
        </w:rPr>
        <w:t xml:space="preserve">(437A,437B) </w:t>
      </w:r>
      <w:r>
        <w:rPr>
          <w:rFonts w:ascii="Times New Roman" w:hAnsi="Times New Roman"/>
          <w:b/>
          <w:i w:val="false"/>
          <w:color w:val="000000"/>
          <w:sz w:val="24"/>
        </w:rPr>
        <w:t xml:space="preserve">Payment of tax. </w:t>
      </w:r>
      <w:r>
        <w:rPr>
          <w:rFonts w:ascii="Times New Roman" w:hAnsi="Times New Roman"/>
          <w:b w:val="false"/>
          <w:i w:val="false"/>
          <w:color w:val="000000"/>
          <w:sz w:val="24"/>
        </w:rPr>
        <w:t>Payment of the tax required to be shown due on the statewide property tax return shall be made to the department. Payment of the tax shall be made on or before the due date of the return.</w:t>
      </w:r>
    </w:p>
    <w:p>
      <w:pPr>
        <w:spacing w:before="210" w:after="0" w:line="480"/>
        <w:ind w:left="120"/>
        <w:jc w:val="both"/>
      </w:pPr>
      <w:r>
        <w:rPr>
          <w:rFonts w:ascii="Times New Roman" w:hAnsi="Times New Roman"/>
          <w:b/>
          <w:i w:val="false"/>
          <w:color w:val="000000"/>
          <w:sz w:val="24"/>
        </w:rPr>
        <w:t>701—101.10</w:t>
      </w:r>
      <w:r>
        <w:rPr>
          <w:rFonts w:ascii="Times New Roman" w:hAnsi="Times New Roman"/>
          <w:b/>
          <w:i w:val="false"/>
          <w:color w:val="000000"/>
          <w:sz w:val="24"/>
        </w:rPr>
        <w:t xml:space="preserve">(437A,437B) </w:t>
      </w:r>
      <w:r>
        <w:rPr>
          <w:rFonts w:ascii="Times New Roman" w:hAnsi="Times New Roman"/>
          <w:b/>
          <w:i w:val="false"/>
          <w:color w:val="000000"/>
          <w:sz w:val="24"/>
        </w:rPr>
        <w:t xml:space="preserve">Statute of limitations. </w:t>
      </w:r>
      <w:r>
        <w:rPr>
          <w:rFonts w:ascii="Times New Roman" w:hAnsi="Times New Roman"/>
          <w:b w:val="false"/>
          <w:i w:val="false"/>
          <w:color w:val="000000"/>
          <w:sz w:val="24"/>
        </w:rPr>
        <w:t xml:space="preserve">Rule </w:t>
      </w:r>
      <w:hyperlink r:id="rId21">
        <w:r>
          <w:rPr>
            <w:rStyle w:val="Hyperlink"/>
            <w:rFonts w:ascii="Times New Roman" w:hAnsi="Times New Roman"/>
            <w:b w:val="false"/>
            <w:i w:val="false"/>
            <w:color w:val="000000"/>
            <w:sz w:val="24"/>
          </w:rPr>
          <w:t>701—101.3</w:t>
        </w:r>
      </w:hyperlink>
      <w:r>
        <w:rPr>
          <w:rFonts w:ascii="Times New Roman" w:hAnsi="Times New Roman"/>
          <w:b w:val="false"/>
          <w:i w:val="false"/>
          <w:color w:val="000000"/>
          <w:sz w:val="24"/>
        </w:rPr>
        <w:t>(437A) is incorporated herein by reference.</w:t>
      </w:r>
    </w:p>
    <w:p>
      <w:pPr>
        <w:spacing w:before="0" w:after="0" w:line="480"/>
        <w:ind w:left="120"/>
        <w:jc w:val="both"/>
      </w:pPr>
      <w:r>
        <w:rPr>
          <w:rFonts w:ascii="Times New Roman" w:hAnsi="Times New Roman"/>
          <w:b/>
          <w:i w:val="false"/>
          <w:color w:val="000000"/>
          <w:sz w:val="24"/>
        </w:rPr>
        <w:t>701—101.11</w:t>
      </w:r>
      <w:r>
        <w:rPr>
          <w:rFonts w:ascii="Times New Roman" w:hAnsi="Times New Roman"/>
          <w:b/>
          <w:i w:val="false"/>
          <w:color w:val="000000"/>
          <w:sz w:val="24"/>
        </w:rPr>
        <w:t xml:space="preserve">(437A,437B) </w:t>
      </w:r>
      <w:r>
        <w:rPr>
          <w:rFonts w:ascii="Times New Roman" w:hAnsi="Times New Roman"/>
          <w:b/>
          <w:i w:val="false"/>
          <w:color w:val="000000"/>
          <w:sz w:val="24"/>
        </w:rPr>
        <w:t xml:space="preserve">Billings.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101.11(1)</w:t>
      </w:r>
      <w:r>
        <w:rPr>
          <w:rFonts w:ascii="Times New Roman" w:hAnsi="Times New Roman"/>
          <w:b w:val="false"/>
          <w:i w:val="false"/>
          <w:color w:val="000000"/>
          <w:sz w:val="24"/>
        </w:rPr>
        <w:t> </w:t>
      </w:r>
      <w:r>
        <w:rPr>
          <w:rFonts w:ascii="Times New Roman" w:hAnsi="Times New Roman"/>
          <w:b w:val="false"/>
          <w:i/>
          <w:color w:val="000000"/>
          <w:sz w:val="24"/>
        </w:rPr>
        <w:t xml:space="preserve">Notice of adjustments. </w:t>
      </w:r>
      <w:r>
        <w:rPr>
          <w:rFonts w:ascii="Times New Roman" w:hAnsi="Times New Roman"/>
          <w:b w:val="false"/>
          <w:i w:val="false"/>
          <w:color w:val="000000"/>
          <w:sz w:val="24"/>
        </w:rPr>
        <w:t xml:space="preserve">Subrule </w:t>
      </w:r>
      <w:hyperlink r:id="rId22">
        <w:r>
          <w:rPr>
            <w:rStyle w:val="Hyperlink"/>
            <w:rFonts w:ascii="Times New Roman" w:hAnsi="Times New Roman"/>
            <w:b w:val="false"/>
            <w:i w:val="false"/>
            <w:color w:val="000000"/>
            <w:sz w:val="24"/>
          </w:rPr>
          <w:t>101.6(1)</w:t>
        </w:r>
      </w:hyperlink>
      <w:r>
        <w:rPr>
          <w:rFonts w:ascii="Times New Roman" w:hAnsi="Times New Roman"/>
          <w:b w:val="false"/>
          <w:i w:val="false"/>
          <w:color w:val="000000"/>
          <w:sz w:val="24"/>
        </w:rPr>
        <w:t xml:space="preserve"> is incorporated herein by 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w:t>
      </w:r>
      <w:r>
        <w:rPr>
          <w:rFonts w:ascii="Times New Roman" w:hAnsi="Times New Roman"/>
          <w:b w:val="false"/>
          <w:i w:val="false"/>
          <w:color w:val="000000"/>
          <w:sz w:val="24"/>
        </w:rPr>
        <w:t> </w:t>
      </w:r>
      <w:r>
        <w:rPr>
          <w:rFonts w:ascii="Times New Roman" w:hAnsi="Times New Roman"/>
          <w:b w:val="false"/>
          <w:i/>
          <w:color w:val="000000"/>
          <w:sz w:val="24"/>
        </w:rPr>
        <w:t xml:space="preserve">Notice of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after following the procedure outlined in paragraph </w:t>
      </w:r>
      <w:hyperlink r:id="rId23">
        <w:r>
          <w:rPr>
            <w:rStyle w:val="Hyperlink"/>
            <w:rFonts w:ascii="Times New Roman" w:hAnsi="Times New Roman"/>
            <w:b w:val="false"/>
            <w:i w:val="false"/>
            <w:color w:val="000000"/>
            <w:sz w:val="24"/>
          </w:rPr>
          <w:t>101.4(1)</w:t>
        </w:r>
      </w:hyperlink>
      <w:r>
        <w:rPr>
          <w:rFonts w:ascii="Times New Roman" w:hAnsi="Times New Roman"/>
          <w:b w:val="false"/>
          <w:i/>
          <w:color w:val="000000"/>
          <w:sz w:val="24"/>
        </w:rPr>
        <w:t>“b,”</w:t>
      </w:r>
      <w:r>
        <w:rPr>
          <w:rFonts w:ascii="Times New Roman" w:hAnsi="Times New Roman"/>
          <w:b w:val="false"/>
          <w:i w:val="false"/>
          <w:color w:val="000000"/>
          <w:sz w:val="24"/>
        </w:rPr>
        <w:t xml:space="preserve"> no agreement is reached and the person does not pay the amount determined to be correct to the director, a notice of the amount of tax due shall be sent to the taxpayer. This notice of assessment shall be signed by the director and will be sent by ordinary mail to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has 60 days from the date of the notice of assessment to file an appeal according to the provisions of rule </w:t>
      </w:r>
      <w:hyperlink r:id="rId24">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 xml:space="preserve">(17A), or if the taxpayer fails to timely appeal a notice of assessment, the taxpayer may make payment pursuant to rule </w:t>
      </w:r>
      <w:hyperlink r:id="rId25">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 xml:space="preserve">(17A) to the director and file a refund claim with the director within the applicable period provided in Iowa Code sections </w:t>
      </w:r>
      <w:hyperlink r:id="rId26">
        <w:r>
          <w:rPr>
            <w:rStyle w:val="Hyperlink"/>
            <w:rFonts w:ascii="Times New Roman" w:hAnsi="Times New Roman"/>
            <w:b w:val="false"/>
            <w:i w:val="false"/>
            <w:color w:val="000000"/>
            <w:sz w:val="24"/>
          </w:rPr>
          <w:t>437A.22</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437A.14(1)</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filing such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w:t>
      </w:r>
      <w:r>
        <w:rPr>
          <w:rFonts w:ascii="Times New Roman" w:hAnsi="Times New Roman"/>
          <w:b w:val="false"/>
          <w:i w:val="false"/>
          <w:color w:val="000000"/>
          <w:sz w:val="24"/>
        </w:rPr>
        <w:t> </w:t>
      </w:r>
      <w:r>
        <w:rPr>
          <w:rFonts w:ascii="Times New Roman" w:hAnsi="Times New Roman"/>
          <w:b w:val="false"/>
          <w:i/>
          <w:color w:val="000000"/>
          <w:sz w:val="24"/>
        </w:rPr>
        <w:t xml:space="preserve">Supplemental assessments. </w:t>
      </w:r>
      <w:r>
        <w:rPr>
          <w:rFonts w:ascii="Times New Roman" w:hAnsi="Times New Roman"/>
          <w:b w:val="false"/>
          <w:i w:val="false"/>
          <w:color w:val="000000"/>
          <w:sz w:val="24"/>
        </w:rPr>
        <w:t xml:space="preserve">Subrule </w:t>
      </w:r>
      <w:hyperlink r:id="rId28">
        <w:r>
          <w:rPr>
            <w:rStyle w:val="Hyperlink"/>
            <w:rFonts w:ascii="Times New Roman" w:hAnsi="Times New Roman"/>
            <w:b w:val="false"/>
            <w:i w:val="false"/>
            <w:color w:val="000000"/>
            <w:sz w:val="24"/>
          </w:rPr>
          <w:t>101.4(3)</w:t>
        </w:r>
      </w:hyperlink>
      <w:r>
        <w:rPr>
          <w:rFonts w:ascii="Times New Roman" w:hAnsi="Times New Roman"/>
          <w:b w:val="false"/>
          <w:i w:val="false"/>
          <w:color w:val="000000"/>
          <w:sz w:val="24"/>
        </w:rPr>
        <w:t>, except for the requirement to notify the county treasurer, is incorporated herein by reference.</w:t>
      </w:r>
    </w:p>
    <w:p>
      <w:pPr>
        <w:spacing w:before="210" w:after="0" w:line="480"/>
        <w:ind w:left="120"/>
        <w:jc w:val="both"/>
      </w:pPr>
      <w:r>
        <w:rPr>
          <w:rFonts w:ascii="Times New Roman" w:hAnsi="Times New Roman"/>
          <w:b/>
          <w:i w:val="false"/>
          <w:color w:val="000000"/>
          <w:sz w:val="24"/>
        </w:rPr>
        <w:t>701—101.12</w:t>
      </w:r>
      <w:r>
        <w:rPr>
          <w:rFonts w:ascii="Times New Roman" w:hAnsi="Times New Roman"/>
          <w:b/>
          <w:i w:val="false"/>
          <w:color w:val="000000"/>
          <w:sz w:val="24"/>
        </w:rPr>
        <w:t xml:space="preserve">(437A,437B) </w:t>
      </w:r>
      <w:r>
        <w:rPr>
          <w:rFonts w:ascii="Times New Roman" w:hAnsi="Times New Roman"/>
          <w:b/>
          <w:i w:val="false"/>
          <w:color w:val="000000"/>
          <w:sz w:val="24"/>
        </w:rPr>
        <w:t xml:space="preserve">Refunds. </w:t>
      </w:r>
      <w:r>
        <w:rPr>
          <w:rFonts w:ascii="Times New Roman" w:hAnsi="Times New Roman"/>
          <w:b w:val="false"/>
          <w:i w:val="false"/>
          <w:color w:val="000000"/>
          <w:sz w:val="24"/>
        </w:rPr>
        <w:t xml:space="preserve">Subrules </w:t>
      </w:r>
      <w:hyperlink r:id="rId29">
        <w:r>
          <w:rPr>
            <w:rStyle w:val="Hyperlink"/>
            <w:rFonts w:ascii="Times New Roman" w:hAnsi="Times New Roman"/>
            <w:b w:val="false"/>
            <w:i w:val="false"/>
            <w:color w:val="000000"/>
            <w:sz w:val="24"/>
          </w:rPr>
          <w:t>101.5(1)</w:t>
        </w:r>
      </w:hyperlink>
      <w:r>
        <w:rPr>
          <w:rFonts w:ascii="Times New Roman" w:hAnsi="Times New Roman"/>
          <w:b w:val="false"/>
          <w:i w:val="false"/>
          <w:color w:val="000000"/>
          <w:sz w:val="24"/>
        </w:rPr>
        <w:t xml:space="preserve"> through </w:t>
      </w:r>
      <w:hyperlink r:id="rId30">
        <w:r>
          <w:rPr>
            <w:rStyle w:val="Hyperlink"/>
            <w:rFonts w:ascii="Times New Roman" w:hAnsi="Times New Roman"/>
            <w:b w:val="false"/>
            <w:i w:val="false"/>
            <w:color w:val="000000"/>
            <w:sz w:val="24"/>
          </w:rPr>
          <w:t>101.5(3)</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101.5(5)</w:t>
        </w:r>
      </w:hyperlink>
      <w:r>
        <w:rPr>
          <w:rFonts w:ascii="Times New Roman" w:hAnsi="Times New Roman"/>
          <w:b w:val="false"/>
          <w:i w:val="false"/>
          <w:color w:val="000000"/>
          <w:sz w:val="24"/>
        </w:rPr>
        <w:t xml:space="preserve"> are incorporated herein by reference.</w:t>
      </w:r>
    </w:p>
    <w:p>
      <w:pPr>
        <w:spacing w:before="210" w:after="0" w:line="480"/>
        <w:ind w:left="120"/>
        <w:jc w:val="both"/>
      </w:pPr>
      <w:r>
        <w:rPr>
          <w:rFonts w:ascii="Times New Roman" w:hAnsi="Times New Roman"/>
          <w:b/>
          <w:i w:val="false"/>
          <w:color w:val="000000"/>
          <w:sz w:val="24"/>
        </w:rPr>
        <w:t>701—101.13</w:t>
      </w:r>
      <w:r>
        <w:rPr>
          <w:rFonts w:ascii="Times New Roman" w:hAnsi="Times New Roman"/>
          <w:b/>
          <w:i w:val="false"/>
          <w:color w:val="000000"/>
          <w:sz w:val="24"/>
        </w:rPr>
        <w:t xml:space="preserve">(437A,437B) </w:t>
      </w:r>
      <w:r>
        <w:rPr>
          <w:rFonts w:ascii="Times New Roman" w:hAnsi="Times New Roman"/>
          <w:b/>
          <w:i w:val="false"/>
          <w:color w:val="000000"/>
          <w:sz w:val="24"/>
        </w:rPr>
        <w:t xml:space="preserve">Abatement of tax. </w:t>
      </w:r>
      <w:r>
        <w:rPr>
          <w:rFonts w:ascii="Times New Roman" w:hAnsi="Times New Roman"/>
          <w:b w:val="false"/>
          <w:i w:val="false"/>
          <w:color w:val="000000"/>
          <w:sz w:val="24"/>
        </w:rPr>
        <w:t xml:space="preserve">The abatement provisions of </w:t>
      </w:r>
      <w:hyperlink r:id="rId32">
        <w:r>
          <w:rPr>
            <w:rStyle w:val="Hyperlink"/>
            <w:rFonts w:ascii="Times New Roman" w:hAnsi="Times New Roman"/>
            <w:b w:val="false"/>
            <w:i w:val="false"/>
            <w:color w:val="000000"/>
            <w:sz w:val="24"/>
          </w:rPr>
          <w:t>701—Chapter 19</w:t>
        </w:r>
      </w:hyperlink>
      <w:r>
        <w:rPr>
          <w:rFonts w:ascii="Times New Roman" w:hAnsi="Times New Roman"/>
          <w:b w:val="false"/>
          <w:i w:val="false"/>
          <w:color w:val="000000"/>
          <w:sz w:val="24"/>
        </w:rPr>
        <w:t xml:space="preserve"> are applicable to the statewide property tax.</w:t>
      </w:r>
    </w:p>
    <w:p>
      <w:pPr>
        <w:spacing w:before="210" w:after="0" w:line="480"/>
        <w:ind w:left="120"/>
        <w:jc w:val="both"/>
      </w:pPr>
      <w:r>
        <w:rPr>
          <w:rFonts w:ascii="Times New Roman" w:hAnsi="Times New Roman"/>
          <w:b/>
          <w:i w:val="false"/>
          <w:color w:val="000000"/>
          <w:sz w:val="24"/>
        </w:rPr>
        <w:t>701—101.14</w:t>
      </w:r>
      <w:r>
        <w:rPr>
          <w:rFonts w:ascii="Times New Roman" w:hAnsi="Times New Roman"/>
          <w:b/>
          <w:i w:val="false"/>
          <w:color w:val="000000"/>
          <w:sz w:val="24"/>
        </w:rPr>
        <w:t xml:space="preserve">(437A,437B) </w:t>
      </w:r>
      <w:r>
        <w:rPr>
          <w:rFonts w:ascii="Times New Roman" w:hAnsi="Times New Roman"/>
          <w:b/>
          <w:i w:val="false"/>
          <w:color w:val="000000"/>
          <w:sz w:val="24"/>
        </w:rPr>
        <w:t xml:space="preserve">Audit of records. </w:t>
      </w:r>
      <w:r>
        <w:rPr>
          <w:rFonts w:ascii="Times New Roman" w:hAnsi="Times New Roman"/>
          <w:b w:val="false"/>
          <w:i w:val="false"/>
          <w:color w:val="000000"/>
          <w:sz w:val="24"/>
        </w:rPr>
        <w:t xml:space="preserve">Rule </w:t>
      </w:r>
      <w:hyperlink r:id="rId33">
        <w:r>
          <w:rPr>
            <w:rStyle w:val="Hyperlink"/>
            <w:rFonts w:ascii="Times New Roman" w:hAnsi="Times New Roman"/>
            <w:b w:val="false"/>
            <w:i w:val="false"/>
            <w:color w:val="000000"/>
            <w:sz w:val="24"/>
          </w:rPr>
          <w:t>701—101.6</w:t>
        </w:r>
      </w:hyperlink>
      <w:r>
        <w:rPr>
          <w:rFonts w:ascii="Times New Roman" w:hAnsi="Times New Roman"/>
          <w:b w:val="false"/>
          <w:i w:val="false"/>
          <w:color w:val="000000"/>
          <w:sz w:val="24"/>
        </w:rPr>
        <w:t>(437A) is incorporated herein by reference.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34">
        <w:r>
          <w:rPr>
            <w:rStyle w:val="Hyperlink"/>
            <w:rFonts w:ascii="Times New Roman" w:hAnsi="Times New Roman"/>
            <w:b w:val="false"/>
            <w:i w:val="false"/>
            <w:color w:val="000000"/>
            <w:sz w:val="24"/>
          </w:rPr>
          <w:t>437A</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437B</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108</w:t>
      </w:r>
      <w:r>
        <w:rPr>
          <w:rFonts w:ascii="Times New Roman" w:hAnsi="Times New Roman"/>
          <w:b w:val="false"/>
          <w:i w:val="false"/>
          <w:color w:val="000000"/>
          <w:sz w:val="24"/>
        </w:rPr>
        <w:t>.</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ac/rule/701.101.4.pdf" Type="http://schemas.openxmlformats.org/officeDocument/2006/relationships/hyperlink" Id="rId6"/>
    <Relationship TargetMode="External" Target="https://www.legis.iowa.gov/docs/iac/rule/701.7.8.pdf" Type="http://schemas.openxmlformats.org/officeDocument/2006/relationships/hyperlink" Id="rId7"/>
    <Relationship TargetMode="External" Target="https://www.legis.iowa.gov/docs/iac/rule/701.7.8.pdf" Type="http://schemas.openxmlformats.org/officeDocument/2006/relationships/hyperlink" Id="rId8"/>
    <Relationship TargetMode="External" Target="https://www.legis.iowa.gov/docs/ico/chapter/437A.14.pdf" Type="http://schemas.openxmlformats.org/officeDocument/2006/relationships/hyperlink" Id="rId9"/>
    <Relationship TargetMode="External" Target="https://www.legis.iowa.gov/docs/iac/rule/701.7.8.pdf" Type="http://schemas.openxmlformats.org/officeDocument/2006/relationships/hyperlink" Id="rId10"/>
    <Relationship TargetMode="External" Target="https://www.legis.iowa.gov/docs/ico/chapter/437A.24.pdf" Type="http://schemas.openxmlformats.org/officeDocument/2006/relationships/hyperlink" Id="rId11"/>
    <Relationship TargetMode="External" Target="https://www.legis.iowa.gov/docs/ico/chapter/476C.pdf" Type="http://schemas.openxmlformats.org/officeDocument/2006/relationships/hyperlink" Id="rId12"/>
    <Relationship TargetMode="External" Target="https://www.legis.iowa.gov/docs/ico/chapter/476B.pdf" Type="http://schemas.openxmlformats.org/officeDocument/2006/relationships/hyperlink" Id="rId13"/>
    <Relationship TargetMode="External" Target="https://www.legis.iowa.gov/docs/ico/chapter/437A.pdf" Type="http://schemas.openxmlformats.org/officeDocument/2006/relationships/hyperlink" Id="rId14"/>
    <Relationship TargetMode="External" Target="https://www.legis.iowa.gov/docs/ico/chapter/437A.8.pdf" Type="http://schemas.openxmlformats.org/officeDocument/2006/relationships/hyperlink" Id="rId15"/>
    <Relationship TargetMode="External" Target="https://www.legis.iowa.gov/docs/ico/chapter/437A.14.pdf" Type="http://schemas.openxmlformats.org/officeDocument/2006/relationships/hyperlink" Id="rId16"/>
    <Relationship TargetMode="External" Target="https://www.legis.iowa.gov/docs/ico/chapter/476C.4.pdf" Type="http://schemas.openxmlformats.org/officeDocument/2006/relationships/hyperlink" Id="rId17"/>
    <Relationship TargetMode="External" Target="https://www.legis.iowa.gov/docs/ico/chapter/476B.pdf" Type="http://schemas.openxmlformats.org/officeDocument/2006/relationships/hyperlink" Id="rId18"/>
    <Relationship TargetMode="External" Target="https://www.legis.iowa.gov/docs/ico/chapter/476C.pdf" Type="http://schemas.openxmlformats.org/officeDocument/2006/relationships/hyperlink" Id="rId19"/>
    <Relationship TargetMode="External" Target="https://www.legis.iowa.gov/docs/ico/chapter/437A.17B.pdf" Type="http://schemas.openxmlformats.org/officeDocument/2006/relationships/hyperlink" Id="rId20"/>
    <Relationship TargetMode="External" Target="https://www.legis.iowa.gov/docs/iac/rule/701.101.3.pdf" Type="http://schemas.openxmlformats.org/officeDocument/2006/relationships/hyperlink" Id="rId21"/>
    <Relationship TargetMode="External" Target="https://www.legis.iowa.gov/docs/iac/rule/701.101.6.pdf" Type="http://schemas.openxmlformats.org/officeDocument/2006/relationships/hyperlink" Id="rId22"/>
    <Relationship TargetMode="External" Target="https://www.legis.iowa.gov/docs/iac/rule/701.101.4.pdf" Type="http://schemas.openxmlformats.org/officeDocument/2006/relationships/hyperlink" Id="rId23"/>
    <Relationship TargetMode="External" Target="https://www.legis.iowa.gov/docs/iac/rule/701.7.8.pdf" Type="http://schemas.openxmlformats.org/officeDocument/2006/relationships/hyperlink" Id="rId24"/>
    <Relationship TargetMode="External" Target="https://www.legis.iowa.gov/docs/iac/rule/701.7.8.pdf" Type="http://schemas.openxmlformats.org/officeDocument/2006/relationships/hyperlink" Id="rId25"/>
    <Relationship TargetMode="External" Target="https://www.legis.iowa.gov/docs/ico/chapter/437A.22.pdf" Type="http://schemas.openxmlformats.org/officeDocument/2006/relationships/hyperlink" Id="rId26"/>
    <Relationship TargetMode="External" Target="https://www.legis.iowa.gov/docs/ico/chapter/437A.14.pdf" Type="http://schemas.openxmlformats.org/officeDocument/2006/relationships/hyperlink" Id="rId27"/>
    <Relationship TargetMode="External" Target="https://www.legis.iowa.gov/docs/iac/rule/701.101.4.pdf" Type="http://schemas.openxmlformats.org/officeDocument/2006/relationships/hyperlink" Id="rId28"/>
    <Relationship TargetMode="External" Target="https://www.legis.iowa.gov/docs/iac/rule/701.101.5.pdf" Type="http://schemas.openxmlformats.org/officeDocument/2006/relationships/hyperlink" Id="rId29"/>
    <Relationship TargetMode="External" Target="https://www.legis.iowa.gov/docs/iac/rule/701.101.5.pdf" Type="http://schemas.openxmlformats.org/officeDocument/2006/relationships/hyperlink" Id="rId30"/>
    <Relationship TargetMode="External" Target="https://www.legis.iowa.gov/docs/iac/rule/701.101.5.pdf" Type="http://schemas.openxmlformats.org/officeDocument/2006/relationships/hyperlink" Id="rId31"/>
    <Relationship TargetMode="External" Target="https://www.legis.iowa.gov/docs/iac/chapter/701.19.pdf" Type="http://schemas.openxmlformats.org/officeDocument/2006/relationships/hyperlink" Id="rId32"/>
    <Relationship TargetMode="External" Target="https://www.legis.iowa.gov/docs/iac/rule/701.101.6.pdf" Type="http://schemas.openxmlformats.org/officeDocument/2006/relationships/hyperlink" Id="rId33"/>
    <Relationship TargetMode="External" Target="https://www.legis.iowa.gov/docs/ico/chapter/437A.pdf" Type="http://schemas.openxmlformats.org/officeDocument/2006/relationships/hyperlink" Id="rId34"/>
    <Relationship TargetMode="External" Target="https://www.legis.iowa.gov/docs/ico/chapter/437B.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